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72C9" w14:textId="50E6F8A2" w:rsidR="009F63FE" w:rsidRDefault="00D952FA">
      <w:pPr>
        <w:widowControl/>
        <w:rPr>
          <w:color w:val="2F5496" w:themeColor="accent1" w:themeShade="BF"/>
          <w:sz w:val="40"/>
          <w:szCs w:val="40"/>
        </w:rPr>
      </w:pPr>
      <w:bookmarkStart w:id="0" w:name="OLE_LINK1"/>
      <w:bookmarkStart w:id="1" w:name="_Hlk196660697"/>
      <w:r w:rsidRPr="00D952FA">
        <w:rPr>
          <w:color w:val="2F5496" w:themeColor="accent1" w:themeShade="BF"/>
          <w:sz w:val="40"/>
          <w:szCs w:val="40"/>
        </w:rPr>
        <w:t xml:space="preserve">ABB </w:t>
      </w:r>
      <w:r w:rsidR="00526E22">
        <w:rPr>
          <w:color w:val="2F5496" w:themeColor="accent1" w:themeShade="BF"/>
          <w:sz w:val="40"/>
          <w:szCs w:val="40"/>
        </w:rPr>
        <w:t>A</w:t>
      </w:r>
      <w:r w:rsidR="00003700">
        <w:rPr>
          <w:color w:val="2F5496" w:themeColor="accent1" w:themeShade="BF"/>
          <w:sz w:val="40"/>
          <w:szCs w:val="40"/>
        </w:rPr>
        <w:t>O895</w:t>
      </w:r>
      <w:r w:rsidRPr="00D952FA">
        <w:rPr>
          <w:color w:val="2F5496" w:themeColor="accent1" w:themeShade="BF"/>
          <w:sz w:val="40"/>
          <w:szCs w:val="40"/>
        </w:rPr>
        <w:t xml:space="preserve"> </w:t>
      </w:r>
      <w:r w:rsidR="00003700" w:rsidRPr="00003700">
        <w:rPr>
          <w:color w:val="2F5496" w:themeColor="accent1" w:themeShade="BF"/>
          <w:sz w:val="40"/>
          <w:szCs w:val="40"/>
        </w:rPr>
        <w:t>3BSC690087R1</w:t>
      </w:r>
      <w:r w:rsidR="0082237F">
        <w:rPr>
          <w:color w:val="2F5496" w:themeColor="accent1" w:themeShade="BF"/>
          <w:sz w:val="40"/>
          <w:szCs w:val="40"/>
        </w:rPr>
        <w:t xml:space="preserve"> </w:t>
      </w:r>
      <w:r w:rsidR="00526E22" w:rsidRPr="00526E22">
        <w:rPr>
          <w:color w:val="2F5496" w:themeColor="accent1" w:themeShade="BF"/>
          <w:sz w:val="40"/>
          <w:szCs w:val="40"/>
        </w:rPr>
        <w:t xml:space="preserve">Analog </w:t>
      </w:r>
      <w:r w:rsidR="00003700">
        <w:rPr>
          <w:color w:val="2F5496" w:themeColor="accent1" w:themeShade="BF"/>
          <w:sz w:val="40"/>
          <w:szCs w:val="40"/>
        </w:rPr>
        <w:t>Out</w:t>
      </w:r>
      <w:r w:rsidR="00526E22" w:rsidRPr="00526E22">
        <w:rPr>
          <w:color w:val="2F5496" w:themeColor="accent1" w:themeShade="BF"/>
          <w:sz w:val="40"/>
          <w:szCs w:val="40"/>
        </w:rPr>
        <w:t>put Module</w:t>
      </w:r>
    </w:p>
    <w:p w14:paraId="33647748" w14:textId="77777777" w:rsidR="003801F7" w:rsidRDefault="00D952FA" w:rsidP="003801F7">
      <w:r w:rsidRPr="00D952FA">
        <w:t xml:space="preserve">ABB </w:t>
      </w:r>
      <w:r w:rsidR="00526E22">
        <w:t>A</w:t>
      </w:r>
      <w:r w:rsidR="00003700">
        <w:t xml:space="preserve">O895 3BSC690087R1 </w:t>
      </w:r>
      <w:r>
        <w:rPr>
          <w:rFonts w:hint="eastAsia"/>
        </w:rPr>
        <w:t>is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r w:rsidR="00526E22" w:rsidRPr="00526E22">
        <w:t xml:space="preserve">Analog </w:t>
      </w:r>
      <w:r w:rsidR="00003700">
        <w:t>Out</w:t>
      </w:r>
      <w:r w:rsidR="00526E22" w:rsidRPr="00526E22">
        <w:t>put Module</w:t>
      </w:r>
      <w:r>
        <w:t xml:space="preserve">, </w:t>
      </w:r>
      <w:r w:rsidR="00526E22">
        <w:rPr>
          <w:rFonts w:hint="eastAsia"/>
        </w:rPr>
        <w:t>it</w:t>
      </w:r>
      <w:r w:rsidR="00526E22">
        <w:t xml:space="preserve"> has </w:t>
      </w:r>
      <w:proofErr w:type="spellStart"/>
      <w:r w:rsidR="003801F7" w:rsidRPr="003801F7">
        <w:t>has</w:t>
      </w:r>
      <w:proofErr w:type="spellEnd"/>
      <w:r w:rsidR="003801F7" w:rsidRPr="003801F7">
        <w:t xml:space="preserve"> 8 channels and includes Intrinsic Safety protection components and a HART interface on each channel for connection to process equipment in hazardous areas without the need for additional external devices.</w:t>
      </w:r>
    </w:p>
    <w:p w14:paraId="1883956D" w14:textId="7D33482A" w:rsidR="009F63FE" w:rsidRDefault="00000000" w:rsidP="003801F7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Brand: </w:t>
      </w:r>
      <w:r w:rsidR="00D952FA">
        <w:rPr>
          <w:b/>
          <w:bCs/>
          <w:sz w:val="36"/>
          <w:szCs w:val="36"/>
        </w:rPr>
        <w:t>ABB</w:t>
      </w:r>
    </w:p>
    <w:p w14:paraId="0B084294" w14:textId="34B15D41" w:rsidR="009F63FE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Module Number: </w:t>
      </w:r>
      <w:r w:rsidR="00526E22">
        <w:rPr>
          <w:b/>
          <w:bCs/>
          <w:sz w:val="36"/>
          <w:szCs w:val="36"/>
        </w:rPr>
        <w:t>A</w:t>
      </w:r>
      <w:r w:rsidR="00003700">
        <w:rPr>
          <w:b/>
          <w:bCs/>
          <w:sz w:val="36"/>
          <w:szCs w:val="36"/>
        </w:rPr>
        <w:t>O895</w:t>
      </w:r>
      <w:r w:rsidR="00526E22">
        <w:rPr>
          <w:b/>
          <w:bCs/>
          <w:sz w:val="36"/>
          <w:szCs w:val="36"/>
        </w:rPr>
        <w:t xml:space="preserve"> </w:t>
      </w:r>
    </w:p>
    <w:p w14:paraId="4A15440D" w14:textId="4971FC80" w:rsidR="00C96665" w:rsidRDefault="00C96665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O</w:t>
      </w:r>
      <w:r>
        <w:rPr>
          <w:b/>
          <w:bCs/>
          <w:sz w:val="36"/>
          <w:szCs w:val="36"/>
        </w:rPr>
        <w:t>rder Number:</w:t>
      </w:r>
      <w:r w:rsidR="00526E22" w:rsidRPr="00526E22">
        <w:t xml:space="preserve"> </w:t>
      </w:r>
      <w:r w:rsidR="00526E22" w:rsidRPr="00526E22">
        <w:rPr>
          <w:b/>
          <w:bCs/>
          <w:sz w:val="36"/>
          <w:szCs w:val="36"/>
        </w:rPr>
        <w:t>3BS</w:t>
      </w:r>
      <w:r w:rsidR="003801F7">
        <w:rPr>
          <w:b/>
          <w:bCs/>
          <w:sz w:val="36"/>
          <w:szCs w:val="36"/>
        </w:rPr>
        <w:t>C690087R1</w:t>
      </w:r>
    </w:p>
    <w:p w14:paraId="56EEE249" w14:textId="64647A65" w:rsidR="009F63FE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Price: $</w:t>
      </w:r>
      <w:r w:rsidR="003801F7">
        <w:rPr>
          <w:b/>
          <w:bCs/>
          <w:sz w:val="36"/>
          <w:szCs w:val="36"/>
        </w:rPr>
        <w:t>10</w:t>
      </w:r>
      <w:r w:rsidR="00526E22">
        <w:rPr>
          <w:b/>
          <w:bCs/>
          <w:sz w:val="36"/>
          <w:szCs w:val="36"/>
        </w:rPr>
        <w:t>00</w:t>
      </w:r>
    </w:p>
    <w:p w14:paraId="256BDF0A" w14:textId="75B6A266" w:rsidR="009F63FE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Country Of Origin: </w:t>
      </w:r>
      <w:r w:rsidR="00D952FA" w:rsidRPr="00D952FA">
        <w:rPr>
          <w:b/>
          <w:bCs/>
          <w:sz w:val="36"/>
          <w:szCs w:val="36"/>
        </w:rPr>
        <w:t>Sweden and Switzerland</w:t>
      </w:r>
    </w:p>
    <w:p w14:paraId="36585847" w14:textId="34848089" w:rsidR="009F63FE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Weight: 0.</w:t>
      </w:r>
      <w:r w:rsidR="00526E22">
        <w:rPr>
          <w:b/>
          <w:bCs/>
          <w:sz w:val="36"/>
          <w:szCs w:val="36"/>
        </w:rPr>
        <w:t>3</w:t>
      </w:r>
      <w:r w:rsidR="00C96665">
        <w:rPr>
          <w:b/>
          <w:bCs/>
          <w:sz w:val="36"/>
          <w:szCs w:val="36"/>
        </w:rPr>
        <w:t>5</w:t>
      </w:r>
      <w:r w:rsidR="003801F7">
        <w:rPr>
          <w:b/>
          <w:bCs/>
          <w:sz w:val="36"/>
          <w:szCs w:val="36"/>
        </w:rPr>
        <w:t>KG</w:t>
      </w:r>
    </w:p>
    <w:p w14:paraId="763F66DE" w14:textId="77777777" w:rsidR="009F63FE" w:rsidRDefault="0000000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Certificate</w:t>
      </w:r>
      <w:r>
        <w:rPr>
          <w:rFonts w:hint="eastAsia"/>
          <w:b/>
          <w:bCs/>
          <w:sz w:val="36"/>
          <w:szCs w:val="36"/>
        </w:rPr>
        <w:t>: C/O from the Chamber of Commerce&lt;</w:t>
      </w:r>
      <w:proofErr w:type="spellStart"/>
      <w:r>
        <w:rPr>
          <w:rFonts w:hint="eastAsia"/>
          <w:b/>
          <w:bCs/>
          <w:sz w:val="36"/>
          <w:szCs w:val="36"/>
        </w:rPr>
        <w:t>br</w:t>
      </w:r>
      <w:proofErr w:type="spellEnd"/>
      <w:r>
        <w:rPr>
          <w:rFonts w:hint="eastAsia"/>
          <w:b/>
          <w:bCs/>
          <w:sz w:val="36"/>
          <w:szCs w:val="36"/>
        </w:rPr>
        <w:t>&gt;C/Q from the manufacturer</w:t>
      </w:r>
      <w:r>
        <w:rPr>
          <w:b/>
          <w:bCs/>
          <w:sz w:val="36"/>
          <w:szCs w:val="36"/>
        </w:rPr>
        <w:t xml:space="preserve"> </w:t>
      </w:r>
    </w:p>
    <w:p w14:paraId="795A52FF" w14:textId="77777777" w:rsidR="009F63FE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Warranty: 12 Months</w:t>
      </w:r>
    </w:p>
    <w:p w14:paraId="192F06B0" w14:textId="75E0159F" w:rsidR="009F63FE" w:rsidRDefault="00000000">
      <w:pPr>
        <w:tabs>
          <w:tab w:val="center" w:pos="4153"/>
        </w:tabs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Inventory Qty: </w:t>
      </w:r>
      <w:r w:rsidR="003801F7">
        <w:rPr>
          <w:b/>
          <w:bCs/>
          <w:sz w:val="36"/>
          <w:szCs w:val="36"/>
        </w:rPr>
        <w:t>2</w:t>
      </w:r>
    </w:p>
    <w:p w14:paraId="3C203FC4" w14:textId="77777777" w:rsidR="009F63FE" w:rsidRDefault="00000000">
      <w:pPr>
        <w:rPr>
          <w:szCs w:val="21"/>
        </w:rPr>
      </w:pPr>
      <w:r>
        <w:rPr>
          <w:szCs w:val="21"/>
        </w:rPr>
        <w:pict w14:anchorId="22696104">
          <v:rect id="_x0000_i1025" style="width:0;height:.75pt" o:hralign="center" o:hrstd="t" o:hrnoshade="t" o:hr="t" fillcolor="#404040" stroked="f"/>
        </w:pict>
      </w:r>
    </w:p>
    <w:bookmarkEnd w:id="0"/>
    <w:bookmarkEnd w:id="1"/>
    <w:p w14:paraId="3C3B1406" w14:textId="77777777" w:rsidR="009F63FE" w:rsidRDefault="00000000">
      <w:pPr>
        <w:pStyle w:val="2"/>
        <w:rPr>
          <w:b/>
          <w:bCs/>
          <w:sz w:val="24"/>
        </w:rPr>
      </w:pPr>
      <w:r>
        <w:rPr>
          <w:rFonts w:hint="eastAsia"/>
        </w:rPr>
        <w:t>Description:</w:t>
      </w:r>
    </w:p>
    <w:p w14:paraId="417C1182" w14:textId="5D1CF2F6" w:rsidR="009F63FE" w:rsidRDefault="00D952FA">
      <w:pPr>
        <w:rPr>
          <w:b/>
          <w:bCs/>
          <w:sz w:val="24"/>
        </w:rPr>
      </w:pPr>
      <w:r>
        <w:rPr>
          <w:b/>
          <w:bCs/>
          <w:sz w:val="24"/>
        </w:rPr>
        <w:t>A</w:t>
      </w:r>
      <w:r>
        <w:rPr>
          <w:rFonts w:hint="eastAsia"/>
          <w:b/>
          <w:bCs/>
          <w:sz w:val="24"/>
        </w:rPr>
        <w:t>B</w:t>
      </w:r>
      <w:r>
        <w:rPr>
          <w:b/>
          <w:bCs/>
          <w:sz w:val="24"/>
        </w:rPr>
        <w:t xml:space="preserve">B </w:t>
      </w:r>
      <w:r w:rsidR="00526E22">
        <w:rPr>
          <w:b/>
          <w:bCs/>
          <w:sz w:val="24"/>
        </w:rPr>
        <w:t>A</w:t>
      </w:r>
      <w:r w:rsidR="003801F7">
        <w:rPr>
          <w:b/>
          <w:bCs/>
          <w:sz w:val="24"/>
        </w:rPr>
        <w:t>O895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Key parameters</w:t>
      </w:r>
    </w:p>
    <w:tbl>
      <w:tblPr>
        <w:tblW w:w="0" w:type="auto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2651"/>
      </w:tblGrid>
      <w:tr w:rsidR="009F63FE" w14:paraId="5E849C32" w14:textId="77777777">
        <w:tc>
          <w:tcPr>
            <w:tcW w:w="0" w:type="auto"/>
            <w:tcBorders>
              <w:left w:val="nil"/>
            </w:tcBorders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FB86E35" w14:textId="77777777" w:rsidR="009F63FE" w:rsidRDefault="0000000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Parameter</w:t>
            </w:r>
          </w:p>
        </w:tc>
        <w:tc>
          <w:tcPr>
            <w:tcW w:w="0" w:type="auto"/>
            <w:tcBorders>
              <w:left w:val="single" w:sz="8" w:space="0" w:color="D0D7DE"/>
            </w:tcBorders>
            <w:shd w:val="clear" w:color="auto" w:fill="FFFFFF"/>
            <w:noWrap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168DA1E" w14:textId="77777777" w:rsidR="009F63FE" w:rsidRDefault="0000000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Specification</w:t>
            </w:r>
          </w:p>
        </w:tc>
      </w:tr>
      <w:tr w:rsidR="009F63FE" w14:paraId="71639889" w14:textId="77777777">
        <w:tc>
          <w:tcPr>
            <w:tcW w:w="0" w:type="auto"/>
            <w:tcBorders>
              <w:top w:val="single" w:sz="8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0690834" w14:textId="488B4B55" w:rsidR="009F63FE" w:rsidRDefault="003801F7">
            <w:pPr>
              <w:rPr>
                <w:b/>
                <w:bCs/>
                <w:sz w:val="24"/>
              </w:rPr>
            </w:pPr>
            <w:r w:rsidRPr="00526E22">
              <w:rPr>
                <w:b/>
                <w:bCs/>
                <w:sz w:val="24"/>
              </w:rPr>
              <w:lastRenderedPageBreak/>
              <w:t>Signal specification</w:t>
            </w:r>
          </w:p>
        </w:tc>
        <w:tc>
          <w:tcPr>
            <w:tcW w:w="0" w:type="auto"/>
            <w:tcBorders>
              <w:top w:val="single" w:sz="8" w:space="0" w:color="D0D7DE"/>
              <w:left w:val="single" w:sz="8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86C64CA" w14:textId="21489CEB" w:rsidR="009F63FE" w:rsidRDefault="003801F7">
            <w:pPr>
              <w:rPr>
                <w:sz w:val="24"/>
              </w:rPr>
            </w:pPr>
            <w:r w:rsidRPr="003801F7">
              <w:rPr>
                <w:sz w:val="24"/>
              </w:rPr>
              <w:t>4...20 mA</w:t>
            </w:r>
            <w:r w:rsidR="00B341F3" w:rsidRPr="00B341F3">
              <w:rPr>
                <w:sz w:val="24"/>
              </w:rPr>
              <w:t xml:space="preserve"> </w:t>
            </w:r>
          </w:p>
        </w:tc>
      </w:tr>
      <w:tr w:rsidR="009F63FE" w14:paraId="3BDB5274" w14:textId="77777777">
        <w:tc>
          <w:tcPr>
            <w:tcW w:w="0" w:type="auto"/>
            <w:tcBorders>
              <w:top w:val="single" w:sz="8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4DFA30D" w14:textId="24EDD161" w:rsidR="009F63FE" w:rsidRDefault="003801F7">
            <w:pPr>
              <w:rPr>
                <w:b/>
                <w:bCs/>
                <w:sz w:val="24"/>
              </w:rPr>
            </w:pPr>
            <w:r w:rsidRPr="00526E22">
              <w:rPr>
                <w:b/>
                <w:bCs/>
                <w:sz w:val="24"/>
              </w:rPr>
              <w:t>Number of channels</w:t>
            </w:r>
          </w:p>
        </w:tc>
        <w:tc>
          <w:tcPr>
            <w:tcW w:w="0" w:type="auto"/>
            <w:tcBorders>
              <w:top w:val="single" w:sz="8" w:space="0" w:color="D0D7DE"/>
              <w:left w:val="single" w:sz="8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7EF71F" w14:textId="03C0F7B4" w:rsidR="009F63FE" w:rsidRDefault="003801F7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F63FE" w14:paraId="12298003" w14:textId="77777777">
        <w:tc>
          <w:tcPr>
            <w:tcW w:w="0" w:type="auto"/>
            <w:tcBorders>
              <w:top w:val="single" w:sz="8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7F6FF16" w14:textId="21CCC7FD" w:rsidR="009F63FE" w:rsidRDefault="003801F7">
            <w:pPr>
              <w:rPr>
                <w:b/>
                <w:bCs/>
                <w:sz w:val="24"/>
              </w:rPr>
            </w:pPr>
            <w:r w:rsidRPr="003801F7">
              <w:rPr>
                <w:b/>
                <w:bCs/>
                <w:sz w:val="24"/>
              </w:rPr>
              <w:t>Signal type</w:t>
            </w:r>
          </w:p>
        </w:tc>
        <w:tc>
          <w:tcPr>
            <w:tcW w:w="0" w:type="auto"/>
            <w:tcBorders>
              <w:top w:val="single" w:sz="8" w:space="0" w:color="D0D7DE"/>
              <w:left w:val="single" w:sz="8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9A4CBC2" w14:textId="05FEBAC6" w:rsidR="009F63FE" w:rsidRDefault="003801F7" w:rsidP="00C96665">
            <w:pPr>
              <w:rPr>
                <w:sz w:val="24"/>
              </w:rPr>
            </w:pPr>
            <w:r w:rsidRPr="003801F7">
              <w:rPr>
                <w:sz w:val="24"/>
              </w:rPr>
              <w:t>Unipolar single ended</w:t>
            </w:r>
          </w:p>
        </w:tc>
      </w:tr>
      <w:tr w:rsidR="009F63FE" w14:paraId="4C4AC6FC" w14:textId="77777777">
        <w:tc>
          <w:tcPr>
            <w:tcW w:w="0" w:type="auto"/>
            <w:tcBorders>
              <w:top w:val="single" w:sz="8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209ED9" w14:textId="0557C94F" w:rsidR="009F63FE" w:rsidRDefault="003801F7">
            <w:pPr>
              <w:rPr>
                <w:b/>
                <w:bCs/>
                <w:sz w:val="24"/>
              </w:rPr>
            </w:pPr>
            <w:r w:rsidRPr="003801F7">
              <w:rPr>
                <w:b/>
                <w:bCs/>
                <w:sz w:val="24"/>
              </w:rPr>
              <w:t>Dielectric test voltage</w:t>
            </w:r>
          </w:p>
        </w:tc>
        <w:tc>
          <w:tcPr>
            <w:tcW w:w="0" w:type="auto"/>
            <w:tcBorders>
              <w:top w:val="single" w:sz="8" w:space="0" w:color="D0D7DE"/>
              <w:left w:val="single" w:sz="8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77AC7AB" w14:textId="632D0079" w:rsidR="009F63FE" w:rsidRDefault="003801F7">
            <w:pPr>
              <w:rPr>
                <w:sz w:val="24"/>
              </w:rPr>
            </w:pPr>
            <w:r w:rsidRPr="003801F7">
              <w:rPr>
                <w:sz w:val="24"/>
              </w:rPr>
              <w:t xml:space="preserve">500 V </w:t>
            </w:r>
            <w:proofErr w:type="spellStart"/>
            <w:r w:rsidRPr="003801F7">
              <w:rPr>
                <w:sz w:val="24"/>
              </w:rPr>
              <w:t>a.c.</w:t>
            </w:r>
            <w:proofErr w:type="spellEnd"/>
          </w:p>
        </w:tc>
      </w:tr>
      <w:tr w:rsidR="009F63FE" w14:paraId="7551B9E0" w14:textId="77777777">
        <w:tc>
          <w:tcPr>
            <w:tcW w:w="0" w:type="auto"/>
            <w:tcBorders>
              <w:top w:val="single" w:sz="8" w:space="0" w:color="D0D7DE"/>
              <w:lef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C07F8B" w14:textId="0842FC73" w:rsidR="009F63FE" w:rsidRDefault="00526E22">
            <w:pPr>
              <w:rPr>
                <w:b/>
                <w:bCs/>
                <w:sz w:val="24"/>
              </w:rPr>
            </w:pPr>
            <w:r w:rsidRPr="00526E22">
              <w:rPr>
                <w:b/>
                <w:bCs/>
                <w:sz w:val="24"/>
              </w:rPr>
              <w:t>Mechanics</w:t>
            </w:r>
          </w:p>
        </w:tc>
        <w:tc>
          <w:tcPr>
            <w:tcW w:w="0" w:type="auto"/>
            <w:tcBorders>
              <w:top w:val="single" w:sz="8" w:space="0" w:color="D0D7DE"/>
              <w:left w:val="single" w:sz="8" w:space="0" w:color="D0D7DE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2E9FB12" w14:textId="7E5954E9" w:rsidR="009F63FE" w:rsidRDefault="00526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  <w:r>
              <w:rPr>
                <w:sz w:val="24"/>
              </w:rPr>
              <w:t>800</w:t>
            </w:r>
          </w:p>
        </w:tc>
      </w:tr>
    </w:tbl>
    <w:p w14:paraId="24ADBF38" w14:textId="77777777" w:rsidR="009F63FE" w:rsidRDefault="009F63FE">
      <w:pPr>
        <w:rPr>
          <w:b/>
          <w:bCs/>
        </w:rPr>
      </w:pPr>
    </w:p>
    <w:p w14:paraId="43ABE9CA" w14:textId="1116DA79" w:rsidR="009D5279" w:rsidRDefault="00000000" w:rsidP="009D5279"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．</w:t>
      </w:r>
      <w:r w:rsidR="00D952FA">
        <w:rPr>
          <w:b/>
          <w:bCs/>
        </w:rPr>
        <w:t xml:space="preserve">ABB </w:t>
      </w:r>
      <w:r w:rsidR="00526E22">
        <w:rPr>
          <w:b/>
          <w:bCs/>
        </w:rPr>
        <w:t>A</w:t>
      </w:r>
      <w:r w:rsidR="003801F7">
        <w:rPr>
          <w:b/>
          <w:bCs/>
        </w:rPr>
        <w:t xml:space="preserve">O895 </w:t>
      </w:r>
      <w:r w:rsidR="00526E22" w:rsidRPr="00526E22">
        <w:rPr>
          <w:b/>
          <w:bCs/>
        </w:rPr>
        <w:t xml:space="preserve">Features and </w:t>
      </w:r>
      <w:proofErr w:type="gramStart"/>
      <w:r w:rsidR="00526E22" w:rsidRPr="00526E22">
        <w:rPr>
          <w:b/>
          <w:bCs/>
        </w:rPr>
        <w:t>benefits</w:t>
      </w:r>
      <w:proofErr w:type="gramEnd"/>
    </w:p>
    <w:p w14:paraId="7F0BA465" w14:textId="1E8F2706" w:rsidR="003801F7" w:rsidRDefault="003801F7" w:rsidP="003801F7">
      <w:pPr>
        <w:rPr>
          <w:rFonts w:hint="eastAsia"/>
        </w:rPr>
      </w:pPr>
      <w:r>
        <w:t>8 channels of 4...20 mA outputs.</w:t>
      </w:r>
    </w:p>
    <w:p w14:paraId="52416841" w14:textId="74D8DFED" w:rsidR="003801F7" w:rsidRDefault="003801F7" w:rsidP="003801F7">
      <w:pPr>
        <w:rPr>
          <w:rFonts w:hint="eastAsia"/>
        </w:rPr>
      </w:pPr>
      <w:r>
        <w:t>HART communication.</w:t>
      </w:r>
    </w:p>
    <w:p w14:paraId="42E2C231" w14:textId="3F1383A1" w:rsidR="003801F7" w:rsidRPr="003801F7" w:rsidRDefault="003801F7" w:rsidP="003801F7">
      <w:pPr>
        <w:rPr>
          <w:rFonts w:hint="eastAsia"/>
        </w:rPr>
      </w:pPr>
      <w:r>
        <w:t>1 group of 8 channels isolated from ground.</w:t>
      </w:r>
    </w:p>
    <w:p w14:paraId="7ACC61E2" w14:textId="1040BC94" w:rsidR="00C76223" w:rsidRDefault="003801F7" w:rsidP="003801F7">
      <w:r>
        <w:t>Power to drive Ex certified I/P actuators.</w:t>
      </w:r>
    </w:p>
    <w:p w14:paraId="55B3C593" w14:textId="216B29F3" w:rsidR="003801F7" w:rsidRDefault="003801F7" w:rsidP="003801F7">
      <w:pPr>
        <w:rPr>
          <w:rFonts w:hint="eastAsia"/>
        </w:rPr>
      </w:pPr>
      <w:r>
        <w:t>The AO895 Analog Output Module has 8 channels. The module includes Intrinsic Safety protection components and a HART interface on each channel for connection to process equipment in hazardous areas without the need for additional external devices.</w:t>
      </w:r>
    </w:p>
    <w:p w14:paraId="1F0C1C6F" w14:textId="6CAF7011" w:rsidR="003801F7" w:rsidRDefault="003801F7" w:rsidP="003801F7">
      <w:r>
        <w:t xml:space="preserve">Each channel can drive up to 20 mA loop current into a field load such as an Ex-certified current-to-pressure converter and is limited to 22 mA in overload conditions. All eight channels are isolated from the </w:t>
      </w:r>
      <w:proofErr w:type="spellStart"/>
      <w:r>
        <w:t>ModuleBus</w:t>
      </w:r>
      <w:proofErr w:type="spellEnd"/>
      <w:r>
        <w:t xml:space="preserve"> and power supply in one group. Power to the output stages is converted from the 24 V on the power supply connections.</w:t>
      </w:r>
    </w:p>
    <w:p w14:paraId="54DFA27C" w14:textId="273506CD" w:rsidR="009F63FE" w:rsidRDefault="009F63FE" w:rsidP="00C76223"/>
    <w:sectPr w:rsidR="009F6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2361" w14:textId="77777777" w:rsidR="003442E2" w:rsidRDefault="003442E2">
      <w:pPr>
        <w:spacing w:line="240" w:lineRule="auto"/>
      </w:pPr>
      <w:r>
        <w:separator/>
      </w:r>
    </w:p>
  </w:endnote>
  <w:endnote w:type="continuationSeparator" w:id="0">
    <w:p w14:paraId="6E14175E" w14:textId="77777777" w:rsidR="003442E2" w:rsidRDefault="00344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7017" w14:textId="77777777" w:rsidR="003442E2" w:rsidRDefault="003442E2">
      <w:pPr>
        <w:spacing w:after="0"/>
      </w:pPr>
      <w:r>
        <w:separator/>
      </w:r>
    </w:p>
  </w:footnote>
  <w:footnote w:type="continuationSeparator" w:id="0">
    <w:p w14:paraId="050B6697" w14:textId="77777777" w:rsidR="003442E2" w:rsidRDefault="003442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B9"/>
    <w:rsid w:val="00003700"/>
    <w:rsid w:val="00015FF0"/>
    <w:rsid w:val="000402ED"/>
    <w:rsid w:val="00041BE5"/>
    <w:rsid w:val="00043260"/>
    <w:rsid w:val="000547D0"/>
    <w:rsid w:val="000655B2"/>
    <w:rsid w:val="000E6C14"/>
    <w:rsid w:val="0012065D"/>
    <w:rsid w:val="0013536B"/>
    <w:rsid w:val="0019307C"/>
    <w:rsid w:val="00194966"/>
    <w:rsid w:val="00196C9C"/>
    <w:rsid w:val="00197B34"/>
    <w:rsid w:val="001A0920"/>
    <w:rsid w:val="001D1073"/>
    <w:rsid w:val="001D27BA"/>
    <w:rsid w:val="00203C3F"/>
    <w:rsid w:val="00225828"/>
    <w:rsid w:val="00226474"/>
    <w:rsid w:val="00234FFC"/>
    <w:rsid w:val="002519BA"/>
    <w:rsid w:val="00257D9F"/>
    <w:rsid w:val="0026331C"/>
    <w:rsid w:val="002665A2"/>
    <w:rsid w:val="002807AD"/>
    <w:rsid w:val="00297BBD"/>
    <w:rsid w:val="002E31FB"/>
    <w:rsid w:val="002F15DD"/>
    <w:rsid w:val="00305E05"/>
    <w:rsid w:val="00307ED5"/>
    <w:rsid w:val="003356CB"/>
    <w:rsid w:val="003442E2"/>
    <w:rsid w:val="00360115"/>
    <w:rsid w:val="003603B2"/>
    <w:rsid w:val="003801F7"/>
    <w:rsid w:val="003A36C4"/>
    <w:rsid w:val="00407981"/>
    <w:rsid w:val="0042099D"/>
    <w:rsid w:val="0044041A"/>
    <w:rsid w:val="00442E8D"/>
    <w:rsid w:val="004955B9"/>
    <w:rsid w:val="004D019B"/>
    <w:rsid w:val="00523998"/>
    <w:rsid w:val="00526E22"/>
    <w:rsid w:val="00544B57"/>
    <w:rsid w:val="00545835"/>
    <w:rsid w:val="00565F0D"/>
    <w:rsid w:val="00575E79"/>
    <w:rsid w:val="00582AA1"/>
    <w:rsid w:val="005A699B"/>
    <w:rsid w:val="005D0948"/>
    <w:rsid w:val="005D7D91"/>
    <w:rsid w:val="005E3EE0"/>
    <w:rsid w:val="00602C7B"/>
    <w:rsid w:val="00603FEA"/>
    <w:rsid w:val="006666B2"/>
    <w:rsid w:val="0068706C"/>
    <w:rsid w:val="00687BDA"/>
    <w:rsid w:val="006A085F"/>
    <w:rsid w:val="006A0F62"/>
    <w:rsid w:val="006A215B"/>
    <w:rsid w:val="006A7254"/>
    <w:rsid w:val="006C4E60"/>
    <w:rsid w:val="006F495B"/>
    <w:rsid w:val="00704357"/>
    <w:rsid w:val="007202E0"/>
    <w:rsid w:val="00722565"/>
    <w:rsid w:val="007302A8"/>
    <w:rsid w:val="007351DA"/>
    <w:rsid w:val="00735C9B"/>
    <w:rsid w:val="00736684"/>
    <w:rsid w:val="007A0DE1"/>
    <w:rsid w:val="007B3810"/>
    <w:rsid w:val="007C7227"/>
    <w:rsid w:val="007D45A8"/>
    <w:rsid w:val="007D56B4"/>
    <w:rsid w:val="007E77F4"/>
    <w:rsid w:val="00812FF6"/>
    <w:rsid w:val="0081370D"/>
    <w:rsid w:val="0082237F"/>
    <w:rsid w:val="00836D7C"/>
    <w:rsid w:val="00840ED8"/>
    <w:rsid w:val="008620A5"/>
    <w:rsid w:val="00865768"/>
    <w:rsid w:val="0088155C"/>
    <w:rsid w:val="008821D5"/>
    <w:rsid w:val="008825CC"/>
    <w:rsid w:val="00893D2E"/>
    <w:rsid w:val="008B072C"/>
    <w:rsid w:val="008B2EC9"/>
    <w:rsid w:val="008B492B"/>
    <w:rsid w:val="008C6845"/>
    <w:rsid w:val="008E6372"/>
    <w:rsid w:val="00902588"/>
    <w:rsid w:val="009132B5"/>
    <w:rsid w:val="0091332F"/>
    <w:rsid w:val="00920B89"/>
    <w:rsid w:val="009221CE"/>
    <w:rsid w:val="00934048"/>
    <w:rsid w:val="009427C1"/>
    <w:rsid w:val="00962A16"/>
    <w:rsid w:val="00981D6C"/>
    <w:rsid w:val="00987730"/>
    <w:rsid w:val="00991B44"/>
    <w:rsid w:val="00994E62"/>
    <w:rsid w:val="00996838"/>
    <w:rsid w:val="009D2EAD"/>
    <w:rsid w:val="009D397C"/>
    <w:rsid w:val="009D5279"/>
    <w:rsid w:val="009F63FE"/>
    <w:rsid w:val="00A10A82"/>
    <w:rsid w:val="00A41AA7"/>
    <w:rsid w:val="00A553B4"/>
    <w:rsid w:val="00A61439"/>
    <w:rsid w:val="00A70E58"/>
    <w:rsid w:val="00A855CE"/>
    <w:rsid w:val="00AD11AE"/>
    <w:rsid w:val="00AD7C64"/>
    <w:rsid w:val="00B04C96"/>
    <w:rsid w:val="00B10A47"/>
    <w:rsid w:val="00B2142D"/>
    <w:rsid w:val="00B3281C"/>
    <w:rsid w:val="00B341F3"/>
    <w:rsid w:val="00B3717A"/>
    <w:rsid w:val="00B50807"/>
    <w:rsid w:val="00B56A2E"/>
    <w:rsid w:val="00BA012D"/>
    <w:rsid w:val="00BA0B18"/>
    <w:rsid w:val="00BB5A67"/>
    <w:rsid w:val="00BF474B"/>
    <w:rsid w:val="00BF6BB1"/>
    <w:rsid w:val="00C10B27"/>
    <w:rsid w:val="00C30B73"/>
    <w:rsid w:val="00C42BA6"/>
    <w:rsid w:val="00C45969"/>
    <w:rsid w:val="00C46FAA"/>
    <w:rsid w:val="00C4799C"/>
    <w:rsid w:val="00C52FBB"/>
    <w:rsid w:val="00C558BA"/>
    <w:rsid w:val="00C5670B"/>
    <w:rsid w:val="00C57AED"/>
    <w:rsid w:val="00C76223"/>
    <w:rsid w:val="00C96665"/>
    <w:rsid w:val="00CA469E"/>
    <w:rsid w:val="00CC5DA2"/>
    <w:rsid w:val="00D16B82"/>
    <w:rsid w:val="00D17070"/>
    <w:rsid w:val="00D43DD9"/>
    <w:rsid w:val="00D53A5D"/>
    <w:rsid w:val="00D70813"/>
    <w:rsid w:val="00D73199"/>
    <w:rsid w:val="00D952FA"/>
    <w:rsid w:val="00DA195C"/>
    <w:rsid w:val="00DB5F8B"/>
    <w:rsid w:val="00DC562B"/>
    <w:rsid w:val="00DD5C87"/>
    <w:rsid w:val="00DD5D7A"/>
    <w:rsid w:val="00DD62CF"/>
    <w:rsid w:val="00DE11B3"/>
    <w:rsid w:val="00E24B57"/>
    <w:rsid w:val="00E370F1"/>
    <w:rsid w:val="00E40EB5"/>
    <w:rsid w:val="00E4495D"/>
    <w:rsid w:val="00E55BCE"/>
    <w:rsid w:val="00E811B4"/>
    <w:rsid w:val="00E84E02"/>
    <w:rsid w:val="00E93BD4"/>
    <w:rsid w:val="00EA05D2"/>
    <w:rsid w:val="00EB44E5"/>
    <w:rsid w:val="00EC1ED6"/>
    <w:rsid w:val="00F01881"/>
    <w:rsid w:val="00F06900"/>
    <w:rsid w:val="00F4138E"/>
    <w:rsid w:val="00F45BA4"/>
    <w:rsid w:val="00F61986"/>
    <w:rsid w:val="00F6392D"/>
    <w:rsid w:val="00FB76CA"/>
    <w:rsid w:val="02623800"/>
    <w:rsid w:val="02F34C30"/>
    <w:rsid w:val="0358398D"/>
    <w:rsid w:val="04932CE9"/>
    <w:rsid w:val="05812B41"/>
    <w:rsid w:val="062736E9"/>
    <w:rsid w:val="06652463"/>
    <w:rsid w:val="076F59D4"/>
    <w:rsid w:val="07E55609"/>
    <w:rsid w:val="0837069B"/>
    <w:rsid w:val="0889420E"/>
    <w:rsid w:val="08C60660"/>
    <w:rsid w:val="09A915ED"/>
    <w:rsid w:val="09DB3168"/>
    <w:rsid w:val="0AB457F8"/>
    <w:rsid w:val="0B754EF6"/>
    <w:rsid w:val="0BAB2AA6"/>
    <w:rsid w:val="0CB17E61"/>
    <w:rsid w:val="0D38732C"/>
    <w:rsid w:val="0DF626F7"/>
    <w:rsid w:val="0E00022F"/>
    <w:rsid w:val="0E146C48"/>
    <w:rsid w:val="10305E2E"/>
    <w:rsid w:val="105F0BC7"/>
    <w:rsid w:val="11CD69B9"/>
    <w:rsid w:val="12714C7A"/>
    <w:rsid w:val="135B36C0"/>
    <w:rsid w:val="1360648C"/>
    <w:rsid w:val="13D2747C"/>
    <w:rsid w:val="145C4EA5"/>
    <w:rsid w:val="148D505F"/>
    <w:rsid w:val="14E67A56"/>
    <w:rsid w:val="157C59CB"/>
    <w:rsid w:val="159B0691"/>
    <w:rsid w:val="15A10189"/>
    <w:rsid w:val="15A92B6B"/>
    <w:rsid w:val="160A26DF"/>
    <w:rsid w:val="16C94348"/>
    <w:rsid w:val="17407C36"/>
    <w:rsid w:val="18335F1D"/>
    <w:rsid w:val="18AE7E0C"/>
    <w:rsid w:val="18B352B0"/>
    <w:rsid w:val="18FA2EDF"/>
    <w:rsid w:val="19043213"/>
    <w:rsid w:val="199A65FF"/>
    <w:rsid w:val="19CE05F3"/>
    <w:rsid w:val="19D465D8"/>
    <w:rsid w:val="1A185CF9"/>
    <w:rsid w:val="1AD734D7"/>
    <w:rsid w:val="1B3A29B9"/>
    <w:rsid w:val="1B8D49C2"/>
    <w:rsid w:val="1B9133C8"/>
    <w:rsid w:val="1BE54009"/>
    <w:rsid w:val="1C112A19"/>
    <w:rsid w:val="1C6C1A60"/>
    <w:rsid w:val="1CA613B3"/>
    <w:rsid w:val="1CAE2016"/>
    <w:rsid w:val="1CB515F6"/>
    <w:rsid w:val="1D6A0633"/>
    <w:rsid w:val="1E2F53D8"/>
    <w:rsid w:val="1E895406"/>
    <w:rsid w:val="1E9D0594"/>
    <w:rsid w:val="1EB606F1"/>
    <w:rsid w:val="1F136AA8"/>
    <w:rsid w:val="1FF430B0"/>
    <w:rsid w:val="20C52024"/>
    <w:rsid w:val="21346507"/>
    <w:rsid w:val="218E0668"/>
    <w:rsid w:val="21FC3824"/>
    <w:rsid w:val="220C3FEC"/>
    <w:rsid w:val="22683081"/>
    <w:rsid w:val="23305E7B"/>
    <w:rsid w:val="23B75C54"/>
    <w:rsid w:val="23BD39B2"/>
    <w:rsid w:val="240B258B"/>
    <w:rsid w:val="245F009A"/>
    <w:rsid w:val="24E72569"/>
    <w:rsid w:val="24EE50F6"/>
    <w:rsid w:val="252235A1"/>
    <w:rsid w:val="25293FE9"/>
    <w:rsid w:val="258B3D00"/>
    <w:rsid w:val="25DD396C"/>
    <w:rsid w:val="261A6A42"/>
    <w:rsid w:val="27840543"/>
    <w:rsid w:val="282C45E0"/>
    <w:rsid w:val="289C5ABA"/>
    <w:rsid w:val="28D61EEF"/>
    <w:rsid w:val="28E976B6"/>
    <w:rsid w:val="290F2DE0"/>
    <w:rsid w:val="297D3081"/>
    <w:rsid w:val="29AC7D22"/>
    <w:rsid w:val="29DA08EE"/>
    <w:rsid w:val="2A862824"/>
    <w:rsid w:val="2B4D6F64"/>
    <w:rsid w:val="2B6007B5"/>
    <w:rsid w:val="2B7F09A6"/>
    <w:rsid w:val="2BD575BF"/>
    <w:rsid w:val="2D3C541C"/>
    <w:rsid w:val="2E24482E"/>
    <w:rsid w:val="2E47051C"/>
    <w:rsid w:val="2E9E23F9"/>
    <w:rsid w:val="2ED63911"/>
    <w:rsid w:val="308E41E1"/>
    <w:rsid w:val="31A03219"/>
    <w:rsid w:val="32C51A10"/>
    <w:rsid w:val="330D3AE3"/>
    <w:rsid w:val="3358764C"/>
    <w:rsid w:val="33A1247D"/>
    <w:rsid w:val="34B61F58"/>
    <w:rsid w:val="367E5F1A"/>
    <w:rsid w:val="36A71B58"/>
    <w:rsid w:val="36D40BB6"/>
    <w:rsid w:val="374A2DC5"/>
    <w:rsid w:val="37BC3FFD"/>
    <w:rsid w:val="39062BB4"/>
    <w:rsid w:val="390B0AC4"/>
    <w:rsid w:val="3A5E23D3"/>
    <w:rsid w:val="3AC86541"/>
    <w:rsid w:val="3B084B8F"/>
    <w:rsid w:val="3CD70CBD"/>
    <w:rsid w:val="3CFB2BFE"/>
    <w:rsid w:val="3D3F3107"/>
    <w:rsid w:val="3D6548C9"/>
    <w:rsid w:val="3D972B19"/>
    <w:rsid w:val="3D9F17DB"/>
    <w:rsid w:val="3DAA0180"/>
    <w:rsid w:val="3E871824"/>
    <w:rsid w:val="3EF01954"/>
    <w:rsid w:val="3F9744EB"/>
    <w:rsid w:val="3FA21C75"/>
    <w:rsid w:val="40F40C4B"/>
    <w:rsid w:val="41653AC2"/>
    <w:rsid w:val="42B61283"/>
    <w:rsid w:val="42E12896"/>
    <w:rsid w:val="432E715D"/>
    <w:rsid w:val="4335673E"/>
    <w:rsid w:val="43873B5A"/>
    <w:rsid w:val="43AD2778"/>
    <w:rsid w:val="43DE1B08"/>
    <w:rsid w:val="43FD725B"/>
    <w:rsid w:val="44B518E4"/>
    <w:rsid w:val="45622935"/>
    <w:rsid w:val="45833790"/>
    <w:rsid w:val="45A72F23"/>
    <w:rsid w:val="45D1241A"/>
    <w:rsid w:val="45E22BAD"/>
    <w:rsid w:val="46A212EB"/>
    <w:rsid w:val="46C2653A"/>
    <w:rsid w:val="473E02B7"/>
    <w:rsid w:val="48A04659"/>
    <w:rsid w:val="48C82477"/>
    <w:rsid w:val="49260292"/>
    <w:rsid w:val="4961203A"/>
    <w:rsid w:val="496E0687"/>
    <w:rsid w:val="49C03205"/>
    <w:rsid w:val="4AA04DE4"/>
    <w:rsid w:val="4ACC6C2B"/>
    <w:rsid w:val="4C13635C"/>
    <w:rsid w:val="4C1C6762"/>
    <w:rsid w:val="4CAE0B56"/>
    <w:rsid w:val="4CF136D5"/>
    <w:rsid w:val="4E402B66"/>
    <w:rsid w:val="4E695D36"/>
    <w:rsid w:val="4F2C1DF1"/>
    <w:rsid w:val="4F5D14F6"/>
    <w:rsid w:val="4F7B197C"/>
    <w:rsid w:val="50663805"/>
    <w:rsid w:val="50CC3A9C"/>
    <w:rsid w:val="52703EC7"/>
    <w:rsid w:val="528355EB"/>
    <w:rsid w:val="538A6632"/>
    <w:rsid w:val="53F16BC7"/>
    <w:rsid w:val="54866DF9"/>
    <w:rsid w:val="56141D44"/>
    <w:rsid w:val="562C356B"/>
    <w:rsid w:val="5640122A"/>
    <w:rsid w:val="567D5EF0"/>
    <w:rsid w:val="56E9366F"/>
    <w:rsid w:val="56F02C50"/>
    <w:rsid w:val="573E7E5F"/>
    <w:rsid w:val="577E6D98"/>
    <w:rsid w:val="58C52932"/>
    <w:rsid w:val="59927FEE"/>
    <w:rsid w:val="59C524D5"/>
    <w:rsid w:val="59F974AC"/>
    <w:rsid w:val="5B2C36A8"/>
    <w:rsid w:val="5B5E6AA9"/>
    <w:rsid w:val="5C201030"/>
    <w:rsid w:val="5C9D2F32"/>
    <w:rsid w:val="5CFB7A99"/>
    <w:rsid w:val="5D7E0FB5"/>
    <w:rsid w:val="5DD92690"/>
    <w:rsid w:val="5E290CF8"/>
    <w:rsid w:val="5E6A153A"/>
    <w:rsid w:val="5E9A3CC2"/>
    <w:rsid w:val="5F465B03"/>
    <w:rsid w:val="60903494"/>
    <w:rsid w:val="621A7CBD"/>
    <w:rsid w:val="6224440A"/>
    <w:rsid w:val="623C4F9B"/>
    <w:rsid w:val="631A1780"/>
    <w:rsid w:val="637A3FCD"/>
    <w:rsid w:val="63BC2837"/>
    <w:rsid w:val="63D73BDA"/>
    <w:rsid w:val="63E022EB"/>
    <w:rsid w:val="63F22205"/>
    <w:rsid w:val="65092655"/>
    <w:rsid w:val="65A05841"/>
    <w:rsid w:val="65D06126"/>
    <w:rsid w:val="65D102BC"/>
    <w:rsid w:val="66464C58"/>
    <w:rsid w:val="667C005C"/>
    <w:rsid w:val="671D183F"/>
    <w:rsid w:val="680C0D40"/>
    <w:rsid w:val="68595D1F"/>
    <w:rsid w:val="6A6908F7"/>
    <w:rsid w:val="6AF44665"/>
    <w:rsid w:val="6B0F149F"/>
    <w:rsid w:val="6B6317EA"/>
    <w:rsid w:val="6B826114"/>
    <w:rsid w:val="6C8750C5"/>
    <w:rsid w:val="6E26547D"/>
    <w:rsid w:val="6ED8604B"/>
    <w:rsid w:val="6F505485"/>
    <w:rsid w:val="6F9B77A5"/>
    <w:rsid w:val="6FE12E9B"/>
    <w:rsid w:val="717026AC"/>
    <w:rsid w:val="71C56D5B"/>
    <w:rsid w:val="726B684E"/>
    <w:rsid w:val="733221CE"/>
    <w:rsid w:val="73410663"/>
    <w:rsid w:val="74155E43"/>
    <w:rsid w:val="74404DBF"/>
    <w:rsid w:val="75041948"/>
    <w:rsid w:val="75575362"/>
    <w:rsid w:val="75703482"/>
    <w:rsid w:val="769B008A"/>
    <w:rsid w:val="76A27AFC"/>
    <w:rsid w:val="77D5581E"/>
    <w:rsid w:val="78C7785D"/>
    <w:rsid w:val="78D5544C"/>
    <w:rsid w:val="78EF46BD"/>
    <w:rsid w:val="798A021B"/>
    <w:rsid w:val="79E65AC0"/>
    <w:rsid w:val="7AA9084B"/>
    <w:rsid w:val="7B272834"/>
    <w:rsid w:val="7C066589"/>
    <w:rsid w:val="7C1003E1"/>
    <w:rsid w:val="7C166823"/>
    <w:rsid w:val="7C490772"/>
    <w:rsid w:val="7DAA5057"/>
    <w:rsid w:val="7DEC1633"/>
    <w:rsid w:val="7E3B2F24"/>
    <w:rsid w:val="7E9006F1"/>
    <w:rsid w:val="7EB97C47"/>
    <w:rsid w:val="7EBE4B4A"/>
    <w:rsid w:val="7ECB1729"/>
    <w:rsid w:val="7F1E3F4E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CD66"/>
  <w15:docId w15:val="{0EBE74B1-5E14-4957-A4BD-06951C61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14"/>
      <w:szCs w:val="14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12"/>
      <w:szCs w:val="1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/>
      <w:b/>
      <w:bCs/>
      <w:color w:val="000000"/>
      <w:sz w:val="14"/>
      <w:szCs w:val="1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/>
      <w:color w:val="000000"/>
      <w:sz w:val="14"/>
      <w:szCs w:val="1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/>
      <w:b/>
      <w:bCs/>
      <w:color w:val="000000"/>
      <w:sz w:val="14"/>
      <w:szCs w:val="1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/>
      <w:color w:val="000000"/>
      <w:sz w:val="14"/>
      <w:szCs w:val="14"/>
      <w:u w:val="none"/>
    </w:rPr>
  </w:style>
  <w:style w:type="character" w:customStyle="1" w:styleId="font81">
    <w:name w:val="font81"/>
    <w:basedOn w:val="a0"/>
    <w:qFormat/>
    <w:rPr>
      <w:rFonts w:ascii="Arial" w:hAnsi="Arial" w:cs="Arial" w:hint="default"/>
      <w:color w:val="000000"/>
      <w:sz w:val="12"/>
      <w:szCs w:val="12"/>
      <w:u w:val="none"/>
    </w:rPr>
  </w:style>
  <w:style w:type="character" w:customStyle="1" w:styleId="font91">
    <w:name w:val="font91"/>
    <w:basedOn w:val="a0"/>
    <w:qFormat/>
    <w:rPr>
      <w:rFonts w:ascii="Arial" w:hAnsi="Arial" w:cs="Arial" w:hint="default"/>
      <w:color w:val="000000"/>
      <w:sz w:val="13"/>
      <w:szCs w:val="13"/>
      <w:u w:val="none"/>
    </w:rPr>
  </w:style>
  <w:style w:type="character" w:customStyle="1" w:styleId="font101">
    <w:name w:val="font101"/>
    <w:basedOn w:val="a0"/>
    <w:qFormat/>
    <w:rPr>
      <w:rFonts w:ascii="Arial" w:hAnsi="Arial" w:cs="Arial" w:hint="default"/>
      <w:color w:val="000000"/>
      <w:sz w:val="15"/>
      <w:szCs w:val="15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/>
      <w:b/>
      <w:bCs/>
      <w:color w:val="FFFFFF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Abby Lu</cp:lastModifiedBy>
  <cp:revision>11</cp:revision>
  <dcterms:created xsi:type="dcterms:W3CDTF">2025-04-30T01:23:00Z</dcterms:created>
  <dcterms:modified xsi:type="dcterms:W3CDTF">2025-11-07T08:23:00Z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eyJoZGlkIjoiMTQzNTQ3MTNlZDY3MTg0MmIzNDE0OGFjMDk4YjFlMzUiLCJ1c2VySWQiOiI1MzIyNTU0NTEifQ==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DC57FD8F058C47999B4889A0075091D3_13</vt:lpwstr>
  </property>
</Properties>
</file>