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F196D">
      <w:pPr>
        <w:rPr>
          <w:rFonts w:hint="default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</w:pPr>
      <w:bookmarkStart w:id="0" w:name="OLE_LINK4"/>
      <w:bookmarkStart w:id="1" w:name="_Hlk196660697"/>
      <w:bookmarkStart w:id="2" w:name="OLE_LINK1"/>
      <w:r>
        <w:rPr>
          <w:rFonts w:hint="eastAsia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  <w:t>ICS Triplex</w:t>
      </w:r>
      <w:r>
        <w:rPr>
          <w:rFonts w:asciiTheme="minorHAnsi" w:hAnsiTheme="minorHAnsi" w:eastAsiaTheme="minorEastAsia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  <w:t xml:space="preserve"> </w:t>
      </w:r>
      <w:bookmarkEnd w:id="0"/>
      <w:r>
        <w:rPr>
          <w:rFonts w:hint="eastAsia" w:cstheme="minorBidi"/>
          <w:b/>
          <w:bCs/>
          <w:color w:val="2F5597" w:themeColor="accent1" w:themeShade="BF"/>
          <w:kern w:val="2"/>
          <w:sz w:val="40"/>
          <w:szCs w:val="40"/>
          <w:lang w:eastAsia="zh-CN" w:bidi="ar-SA"/>
          <w14:ligatures w14:val="standardContextual"/>
        </w:rPr>
        <w:t>T8431</w:t>
      </w:r>
      <w:r>
        <w:rPr>
          <w:rFonts w:hint="eastAsia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  <w:t xml:space="preserve"> Trusted TMR </w:t>
      </w:r>
      <w:r>
        <w:rPr>
          <w:rFonts w:hint="default" w:cstheme="minorBidi"/>
          <w:b/>
          <w:bCs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  <w:t>24 Vdc Analog Input Module</w:t>
      </w:r>
    </w:p>
    <w:p w14:paraId="3DB77AE0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Brand: </w:t>
      </w:r>
      <w:r>
        <w:rPr>
          <w:rFonts w:hint="eastAsia"/>
          <w:b/>
          <w:bCs/>
          <w:sz w:val="36"/>
          <w:szCs w:val="36"/>
          <w:lang w:val="en-US" w:eastAsia="zh-CN"/>
        </w:rPr>
        <w:t>ICS Triplex</w:t>
      </w:r>
    </w:p>
    <w:p w14:paraId="42F1AC21">
      <w:pPr>
        <w:rPr>
          <w:rFonts w:hint="default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Module N</w:t>
      </w:r>
      <w:r>
        <w:rPr>
          <w:rFonts w:hint="eastAsia"/>
          <w:b/>
          <w:bCs/>
          <w:sz w:val="36"/>
          <w:szCs w:val="36"/>
          <w:lang w:val="en-US" w:eastAsia="zh-CN"/>
        </w:rPr>
        <w:t>umber:</w:t>
      </w:r>
      <w:r>
        <w:rPr>
          <w:rFonts w:hint="eastAsia"/>
          <w:b/>
          <w:bCs/>
          <w:sz w:val="36"/>
          <w:szCs w:val="36"/>
          <w:lang w:eastAsia="zh-CN"/>
        </w:rPr>
        <w:t>T8431</w:t>
      </w:r>
    </w:p>
    <w:p w14:paraId="63C6ECE2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Unit Price: $</w:t>
      </w:r>
      <w:r>
        <w:rPr>
          <w:rFonts w:hint="eastAsia"/>
          <w:b/>
          <w:bCs/>
          <w:sz w:val="36"/>
          <w:szCs w:val="36"/>
          <w:lang w:val="en-US" w:eastAsia="zh-CN"/>
        </w:rPr>
        <w:t>5500</w:t>
      </w:r>
    </w:p>
    <w:p w14:paraId="775FB615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Country Of Origin: </w:t>
      </w:r>
      <w:r>
        <w:rPr>
          <w:rFonts w:hint="eastAsia"/>
          <w:b/>
          <w:bCs/>
          <w:sz w:val="36"/>
          <w:szCs w:val="36"/>
          <w:lang w:val="en-US" w:eastAsia="zh-CN"/>
        </w:rPr>
        <w:t>United States</w:t>
      </w:r>
    </w:p>
    <w:p w14:paraId="756AEE40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Weight: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2</w:t>
      </w:r>
      <w:r>
        <w:rPr>
          <w:rFonts w:hint="eastAsia"/>
          <w:b/>
          <w:bCs/>
          <w:sz w:val="36"/>
          <w:szCs w:val="36"/>
        </w:rPr>
        <w:t>kg</w:t>
      </w:r>
    </w:p>
    <w:p w14:paraId="17C91EDD">
      <w:pPr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Certificate</w:t>
      </w:r>
      <w:r>
        <w:rPr>
          <w:rFonts w:hint="eastAsia"/>
          <w:b/>
          <w:bCs/>
          <w:sz w:val="36"/>
          <w:szCs w:val="36"/>
        </w:rPr>
        <w:t xml:space="preserve">: C/O from the Chamber of Commerce </w:t>
      </w:r>
    </w:p>
    <w:p w14:paraId="3E1E61FB">
      <w:pPr>
        <w:ind w:firstLine="1801" w:firstLineChars="5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C/Q from the manufacturer</w:t>
      </w:r>
      <w:r>
        <w:rPr>
          <w:b/>
          <w:bCs/>
          <w:sz w:val="36"/>
          <w:szCs w:val="36"/>
        </w:rPr>
        <w:t xml:space="preserve"> </w:t>
      </w:r>
    </w:p>
    <w:p w14:paraId="2EA1AE08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Warranty: 12 Months</w:t>
      </w:r>
    </w:p>
    <w:p w14:paraId="0B9E3D34">
      <w:pPr>
        <w:tabs>
          <w:tab w:val="center" w:pos="4153"/>
        </w:tabs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Inventory Qty: </w:t>
      </w:r>
      <w:r>
        <w:rPr>
          <w:rFonts w:hint="eastAsia"/>
          <w:b/>
          <w:bCs/>
          <w:sz w:val="36"/>
          <w:szCs w:val="36"/>
          <w:lang w:val="en-US" w:eastAsia="zh-CN"/>
        </w:rPr>
        <w:t>10</w:t>
      </w:r>
      <w:r>
        <w:rPr>
          <w:rFonts w:hint="eastAsia"/>
          <w:b/>
          <w:bCs/>
          <w:sz w:val="36"/>
          <w:szCs w:val="36"/>
          <w:lang w:val="en-US" w:eastAsia="zh-CN"/>
        </w:rPr>
        <w:tab/>
      </w:r>
    </w:p>
    <w:p w14:paraId="73845BED">
      <w:pPr>
        <w:rPr>
          <w:rFonts w:hint="eastAsia"/>
          <w:szCs w:val="21"/>
        </w:rPr>
      </w:pPr>
      <w:r>
        <w:rPr>
          <w:szCs w:val="21"/>
        </w:rPr>
        <w:pict>
          <v:rect id="_x0000_i1025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bookmarkEnd w:id="1"/>
    <w:bookmarkEnd w:id="2"/>
    <w:p w14:paraId="2399AD52">
      <w:pPr>
        <w:pStyle w:val="3"/>
        <w:bidi w:val="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>Description:</w:t>
      </w:r>
    </w:p>
    <w:p w14:paraId="126521C0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ICS Triplex </w:t>
      </w:r>
      <w:r>
        <w:rPr>
          <w:rFonts w:hint="eastAsia"/>
          <w:b/>
          <w:bCs/>
          <w:lang w:eastAsia="zh-CN"/>
        </w:rPr>
        <w:t>T8431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eastAsia="zh-CN"/>
        </w:rPr>
        <w:t>Key parameters</w:t>
      </w:r>
    </w:p>
    <w:p w14:paraId="0DCDE17A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Redundant Architecture &amp; Input Channels</w:t>
      </w:r>
    </w:p>
    <w:p w14:paraId="44CDA05E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Employs Triple Modular Redundancy (TMR) across 40 independent analog input channels, ensuring fault tolerance by triplicating signal processing paths for continuous operation even during hardware failures.</w:t>
      </w:r>
    </w:p>
    <w:p w14:paraId="565604BF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Input Signal Ranges &amp; Precision</w:t>
      </w:r>
    </w:p>
    <w:p w14:paraId="5C115134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Accepts voltage inputs (0–6 VDC) and current signals (0–22 mA) with a resolution of 3.9 µA (1/256 mA). Calibration accuracy is maintained at 0.03%, while safety-critical operations adhere to ±1% full-scale accuracy.</w:t>
      </w:r>
    </w:p>
    <w:p w14:paraId="370D8828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Diagnostics &amp; Monitoring</w:t>
      </w:r>
    </w:p>
    <w:p w14:paraId="7DA5C5BC">
      <w:pPr>
        <w:rPr>
          <w:rFonts w:hint="eastAsia"/>
          <w:b w:val="0"/>
          <w:bCs w:val="0"/>
          <w:lang w:eastAsia="zh-CN"/>
        </w:rPr>
      </w:pPr>
    </w:p>
    <w:p w14:paraId="6FC16A70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Integrated self-test routines and channel-specific line monitoring detect open/short circuits in field wiring. Thresholds for fault detection are user-configurable per channel, enhancing proactive maintenance.</w:t>
      </w:r>
    </w:p>
    <w:p w14:paraId="10915AEB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一．</w:t>
      </w:r>
      <w:r>
        <w:rPr>
          <w:rFonts w:hint="eastAsia"/>
          <w:b/>
          <w:bCs/>
          <w:lang w:val="en-US" w:eastAsia="zh-CN"/>
        </w:rPr>
        <w:t xml:space="preserve">ICS Triplex </w:t>
      </w:r>
      <w:r>
        <w:rPr>
          <w:rFonts w:hint="eastAsia"/>
          <w:b/>
          <w:bCs/>
          <w:lang w:eastAsia="zh-CN"/>
        </w:rPr>
        <w:t>T8431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Core Function</w:t>
      </w:r>
    </w:p>
    <w:p w14:paraId="4EAE247D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High-Resolution Sigma-Delta Conversion</w:t>
      </w:r>
    </w:p>
    <w:p w14:paraId="4C7D5A8B"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cstheme="minorBidi"/>
          <w:b w:val="0"/>
          <w:bCs w:val="0"/>
          <w:kern w:val="2"/>
          <w:sz w:val="22"/>
          <w:szCs w:val="24"/>
          <w:lang w:val="en-US" w:eastAsia="zh-CN" w:bidi="ar-SA"/>
          <w14:ligatures w14:val="standardContextual"/>
        </w:rPr>
        <w:t>The module employs sigma-delta analog-to-digital conversion with a resolution of 3.9 µA (1/256 mA) and a sample update time of 0.5 ms, enabling precise voltage (0–6 Vdc) and current (0–22 mA) measurements. Safety accuracy is maintained at ±1% of full scale, while calibration accuracy reaches 0.03%, validated through user-defined thresholds stored in non-volatile memory.</w:t>
      </w:r>
    </w:p>
    <w:p w14:paraId="67FA3466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Dynamic Line Monitoring and Fault Tolerance</w:t>
      </w:r>
    </w:p>
    <w:p w14:paraId="604DA1BE"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cstheme="minorBidi"/>
          <w:b w:val="0"/>
          <w:bCs w:val="0"/>
          <w:kern w:val="2"/>
          <w:sz w:val="22"/>
          <w:szCs w:val="24"/>
          <w:lang w:val="en-US" w:eastAsia="zh-CN" w:bidi="ar-SA"/>
          <w14:ligatures w14:val="standardContextual"/>
        </w:rPr>
        <w:t>Each of the 40 TMR input channels supports per-channel line monitoring, detecting open circuits and short circuits via configurable voltage thresholds. The module withstands ±2.5 kVdc transient surges with reinforced isolation barriers between field commons and channels, ensuring signal integrity in electrically noisy environments like petrochemical plants.</w:t>
      </w:r>
    </w:p>
    <w:p w14:paraId="141933BC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Event Logging with Microsecond Precision</w:t>
      </w:r>
    </w:p>
    <w:p w14:paraId="3A19FE10"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cstheme="minorBidi"/>
          <w:b w:val="0"/>
          <w:bCs w:val="0"/>
          <w:kern w:val="2"/>
          <w:sz w:val="22"/>
          <w:szCs w:val="24"/>
          <w:lang w:val="en-US" w:eastAsia="zh-CN" w:bidi="ar-SA"/>
          <w14:ligatures w14:val="standardContextual"/>
        </w:rPr>
        <w:t>Beyond standard SOE reporting (1 ms resolution), the T8431 integrates a 100 µs real-time clock for timestamp synchronization. This enables forensic analysis of events like voltage threshold breaches or calibration drifts, logging up to 4,000 timestamped events for compliance audits or failure root-cause analysis.</w:t>
      </w:r>
    </w:p>
    <w:p w14:paraId="75CB7DCE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bookmarkStart w:id="3" w:name="_GoBack"/>
      <w:bookmarkEnd w:id="3"/>
    </w:p>
    <w:p w14:paraId="1E70B2FF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6E37751C">
      <w:pPr>
        <w:rPr>
          <w:rFonts w:hint="eastAsia"/>
          <w:b w:val="0"/>
          <w:bCs w:val="0"/>
          <w:lang w:eastAsia="zh-CN"/>
        </w:rPr>
      </w:pPr>
      <w:r>
        <w:drawing>
          <wp:inline distT="0" distB="0" distL="114300" distR="114300">
            <wp:extent cx="5271770" cy="7345680"/>
            <wp:effectExtent l="9525" t="9525" r="14605" b="171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45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37D239">
      <w:pPr>
        <w:rPr>
          <w:rFonts w:hint="eastAsia"/>
          <w:b w:val="0"/>
          <w:bCs w:val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B9"/>
    <w:rsid w:val="00015FF0"/>
    <w:rsid w:val="000402ED"/>
    <w:rsid w:val="00041BE5"/>
    <w:rsid w:val="00043260"/>
    <w:rsid w:val="000547D0"/>
    <w:rsid w:val="000E6C14"/>
    <w:rsid w:val="0012065D"/>
    <w:rsid w:val="0013536B"/>
    <w:rsid w:val="0019307C"/>
    <w:rsid w:val="00194966"/>
    <w:rsid w:val="00196C9C"/>
    <w:rsid w:val="00197B34"/>
    <w:rsid w:val="001A0920"/>
    <w:rsid w:val="001D1073"/>
    <w:rsid w:val="001D27BA"/>
    <w:rsid w:val="00203C3F"/>
    <w:rsid w:val="00225828"/>
    <w:rsid w:val="00226474"/>
    <w:rsid w:val="00234FFC"/>
    <w:rsid w:val="002519BA"/>
    <w:rsid w:val="00257D9F"/>
    <w:rsid w:val="0026331C"/>
    <w:rsid w:val="002665A2"/>
    <w:rsid w:val="002807AD"/>
    <w:rsid w:val="002E31FB"/>
    <w:rsid w:val="002F15DD"/>
    <w:rsid w:val="00307ED5"/>
    <w:rsid w:val="003356CB"/>
    <w:rsid w:val="00360115"/>
    <w:rsid w:val="003603B2"/>
    <w:rsid w:val="003A36C4"/>
    <w:rsid w:val="00407981"/>
    <w:rsid w:val="0042099D"/>
    <w:rsid w:val="0044041A"/>
    <w:rsid w:val="00442E8D"/>
    <w:rsid w:val="004955B9"/>
    <w:rsid w:val="004D019B"/>
    <w:rsid w:val="00523998"/>
    <w:rsid w:val="00544B57"/>
    <w:rsid w:val="00545835"/>
    <w:rsid w:val="00565F0D"/>
    <w:rsid w:val="00575E79"/>
    <w:rsid w:val="00582AA1"/>
    <w:rsid w:val="005A699B"/>
    <w:rsid w:val="005D0948"/>
    <w:rsid w:val="005D7D91"/>
    <w:rsid w:val="005E3EE0"/>
    <w:rsid w:val="00602C7B"/>
    <w:rsid w:val="00603FEA"/>
    <w:rsid w:val="006666B2"/>
    <w:rsid w:val="0068706C"/>
    <w:rsid w:val="00687BDA"/>
    <w:rsid w:val="006A085F"/>
    <w:rsid w:val="006A0F62"/>
    <w:rsid w:val="006A215B"/>
    <w:rsid w:val="006A7254"/>
    <w:rsid w:val="006C4E60"/>
    <w:rsid w:val="006F495B"/>
    <w:rsid w:val="00704357"/>
    <w:rsid w:val="007202E0"/>
    <w:rsid w:val="00722565"/>
    <w:rsid w:val="007302A8"/>
    <w:rsid w:val="007351DA"/>
    <w:rsid w:val="00735C9B"/>
    <w:rsid w:val="007A0DE1"/>
    <w:rsid w:val="007B3810"/>
    <w:rsid w:val="007C7227"/>
    <w:rsid w:val="007D45A8"/>
    <w:rsid w:val="007D56B4"/>
    <w:rsid w:val="007E77F4"/>
    <w:rsid w:val="00812FF6"/>
    <w:rsid w:val="0081370D"/>
    <w:rsid w:val="00836D7C"/>
    <w:rsid w:val="00840ED8"/>
    <w:rsid w:val="008620A5"/>
    <w:rsid w:val="00865768"/>
    <w:rsid w:val="0088155C"/>
    <w:rsid w:val="008821D5"/>
    <w:rsid w:val="008825CC"/>
    <w:rsid w:val="00893D2E"/>
    <w:rsid w:val="008B072C"/>
    <w:rsid w:val="008B2EC9"/>
    <w:rsid w:val="008B492B"/>
    <w:rsid w:val="008C6845"/>
    <w:rsid w:val="008E6372"/>
    <w:rsid w:val="00902588"/>
    <w:rsid w:val="009132B5"/>
    <w:rsid w:val="0091332F"/>
    <w:rsid w:val="00920B89"/>
    <w:rsid w:val="009221CE"/>
    <w:rsid w:val="00934048"/>
    <w:rsid w:val="009427C1"/>
    <w:rsid w:val="00962A16"/>
    <w:rsid w:val="00981D6C"/>
    <w:rsid w:val="00987730"/>
    <w:rsid w:val="00991B44"/>
    <w:rsid w:val="00994E62"/>
    <w:rsid w:val="00996838"/>
    <w:rsid w:val="009D2EAD"/>
    <w:rsid w:val="009D397C"/>
    <w:rsid w:val="00A10A82"/>
    <w:rsid w:val="00A41AA7"/>
    <w:rsid w:val="00A553B4"/>
    <w:rsid w:val="00A61439"/>
    <w:rsid w:val="00A70E58"/>
    <w:rsid w:val="00A855CE"/>
    <w:rsid w:val="00AD11AE"/>
    <w:rsid w:val="00AD7C64"/>
    <w:rsid w:val="00B04C96"/>
    <w:rsid w:val="00B10A47"/>
    <w:rsid w:val="00B2142D"/>
    <w:rsid w:val="00B3281C"/>
    <w:rsid w:val="00B3717A"/>
    <w:rsid w:val="00B50807"/>
    <w:rsid w:val="00B56A2E"/>
    <w:rsid w:val="00BA012D"/>
    <w:rsid w:val="00BA0B18"/>
    <w:rsid w:val="00BB5A67"/>
    <w:rsid w:val="00BF474B"/>
    <w:rsid w:val="00BF6BB1"/>
    <w:rsid w:val="00C10B27"/>
    <w:rsid w:val="00C30B73"/>
    <w:rsid w:val="00C42BA6"/>
    <w:rsid w:val="00C45969"/>
    <w:rsid w:val="00C46FAA"/>
    <w:rsid w:val="00C4799C"/>
    <w:rsid w:val="00C52FBB"/>
    <w:rsid w:val="00C558BA"/>
    <w:rsid w:val="00C5670B"/>
    <w:rsid w:val="00C57AED"/>
    <w:rsid w:val="00CA469E"/>
    <w:rsid w:val="00CC5DA2"/>
    <w:rsid w:val="00D16B82"/>
    <w:rsid w:val="00D17070"/>
    <w:rsid w:val="00D43DD9"/>
    <w:rsid w:val="00D53A5D"/>
    <w:rsid w:val="00D70813"/>
    <w:rsid w:val="00D73199"/>
    <w:rsid w:val="00DA195C"/>
    <w:rsid w:val="00DB5F8B"/>
    <w:rsid w:val="00DC562B"/>
    <w:rsid w:val="00DD5C87"/>
    <w:rsid w:val="00DD62CF"/>
    <w:rsid w:val="00DE11B3"/>
    <w:rsid w:val="00E24B57"/>
    <w:rsid w:val="00E370F1"/>
    <w:rsid w:val="00E40EB5"/>
    <w:rsid w:val="00E4495D"/>
    <w:rsid w:val="00E55BCE"/>
    <w:rsid w:val="00E811B4"/>
    <w:rsid w:val="00E84E02"/>
    <w:rsid w:val="00E93BD4"/>
    <w:rsid w:val="00EA05D2"/>
    <w:rsid w:val="00EB44E5"/>
    <w:rsid w:val="00EC1ED6"/>
    <w:rsid w:val="00F01881"/>
    <w:rsid w:val="00F06900"/>
    <w:rsid w:val="00F4138E"/>
    <w:rsid w:val="00F61986"/>
    <w:rsid w:val="00F6392D"/>
    <w:rsid w:val="00FB76CA"/>
    <w:rsid w:val="0457313E"/>
    <w:rsid w:val="062736E9"/>
    <w:rsid w:val="06652463"/>
    <w:rsid w:val="0889420E"/>
    <w:rsid w:val="09DB3168"/>
    <w:rsid w:val="0CB17E61"/>
    <w:rsid w:val="0D38732C"/>
    <w:rsid w:val="145C4EA5"/>
    <w:rsid w:val="148D505F"/>
    <w:rsid w:val="159B0691"/>
    <w:rsid w:val="16C94348"/>
    <w:rsid w:val="17407C36"/>
    <w:rsid w:val="18335F1D"/>
    <w:rsid w:val="18FA2EDF"/>
    <w:rsid w:val="19043213"/>
    <w:rsid w:val="1AD734D7"/>
    <w:rsid w:val="1B3A29B9"/>
    <w:rsid w:val="1B9133C8"/>
    <w:rsid w:val="1C6C1A60"/>
    <w:rsid w:val="1CB515F6"/>
    <w:rsid w:val="1D6A0633"/>
    <w:rsid w:val="1E2F53D8"/>
    <w:rsid w:val="1E9D0594"/>
    <w:rsid w:val="20C52024"/>
    <w:rsid w:val="218E0668"/>
    <w:rsid w:val="220C3FEC"/>
    <w:rsid w:val="23305E7B"/>
    <w:rsid w:val="23B75C54"/>
    <w:rsid w:val="252235A1"/>
    <w:rsid w:val="27840543"/>
    <w:rsid w:val="289C5ABA"/>
    <w:rsid w:val="28E976B6"/>
    <w:rsid w:val="290F2DE0"/>
    <w:rsid w:val="2B4D6F64"/>
    <w:rsid w:val="2B6007B5"/>
    <w:rsid w:val="2B7F09A6"/>
    <w:rsid w:val="2D3C541C"/>
    <w:rsid w:val="2E47051C"/>
    <w:rsid w:val="2E9E23F9"/>
    <w:rsid w:val="330D3AE3"/>
    <w:rsid w:val="3358764C"/>
    <w:rsid w:val="33A1247D"/>
    <w:rsid w:val="34B61F58"/>
    <w:rsid w:val="36285295"/>
    <w:rsid w:val="37BC3FFD"/>
    <w:rsid w:val="3A5E23D3"/>
    <w:rsid w:val="3B084B8F"/>
    <w:rsid w:val="3D6548C9"/>
    <w:rsid w:val="3D9F17DB"/>
    <w:rsid w:val="3E871824"/>
    <w:rsid w:val="3FA21C75"/>
    <w:rsid w:val="4180078C"/>
    <w:rsid w:val="42E12896"/>
    <w:rsid w:val="43873B5A"/>
    <w:rsid w:val="44B518E4"/>
    <w:rsid w:val="45833790"/>
    <w:rsid w:val="45A72F23"/>
    <w:rsid w:val="45D1241A"/>
    <w:rsid w:val="45E22BAD"/>
    <w:rsid w:val="46C2653A"/>
    <w:rsid w:val="473E02B7"/>
    <w:rsid w:val="48C82477"/>
    <w:rsid w:val="496E0687"/>
    <w:rsid w:val="4C13635C"/>
    <w:rsid w:val="4CF136D5"/>
    <w:rsid w:val="54866DF9"/>
    <w:rsid w:val="56141D44"/>
    <w:rsid w:val="562C356B"/>
    <w:rsid w:val="5640122A"/>
    <w:rsid w:val="567D5EF0"/>
    <w:rsid w:val="56E9366F"/>
    <w:rsid w:val="56F02C50"/>
    <w:rsid w:val="573E7E5F"/>
    <w:rsid w:val="577E6D98"/>
    <w:rsid w:val="59927FEE"/>
    <w:rsid w:val="59F974AC"/>
    <w:rsid w:val="5CFB7A99"/>
    <w:rsid w:val="5E290CF8"/>
    <w:rsid w:val="5F465B03"/>
    <w:rsid w:val="623C4F9B"/>
    <w:rsid w:val="637A3FCD"/>
    <w:rsid w:val="63BC2837"/>
    <w:rsid w:val="63E022EB"/>
    <w:rsid w:val="63F22205"/>
    <w:rsid w:val="65092655"/>
    <w:rsid w:val="65D06126"/>
    <w:rsid w:val="671D183F"/>
    <w:rsid w:val="680C0D40"/>
    <w:rsid w:val="6A6908F7"/>
    <w:rsid w:val="6AF44665"/>
    <w:rsid w:val="6F9B77A5"/>
    <w:rsid w:val="6FE12E9B"/>
    <w:rsid w:val="71C56D5B"/>
    <w:rsid w:val="733221CE"/>
    <w:rsid w:val="73410663"/>
    <w:rsid w:val="74404DBF"/>
    <w:rsid w:val="75041948"/>
    <w:rsid w:val="798A021B"/>
    <w:rsid w:val="79E65AC0"/>
    <w:rsid w:val="7C066589"/>
    <w:rsid w:val="7C1003E1"/>
    <w:rsid w:val="7E9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39">
    <w:name w:val="font21"/>
    <w:basedOn w:val="1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40">
    <w:name w:val="font31"/>
    <w:basedOn w:val="17"/>
    <w:qFormat/>
    <w:uiPriority w:val="0"/>
    <w:rPr>
      <w:rFonts w:ascii="Arial" w:hAnsi="Arial" w:cs="Arial"/>
      <w:color w:val="000000"/>
      <w:sz w:val="12"/>
      <w:szCs w:val="12"/>
      <w:u w:val="none"/>
    </w:rPr>
  </w:style>
  <w:style w:type="character" w:customStyle="1" w:styleId="41">
    <w:name w:val="font41"/>
    <w:basedOn w:val="17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42">
    <w:name w:val="font51"/>
    <w:basedOn w:val="1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43">
    <w:name w:val="font61"/>
    <w:basedOn w:val="17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44">
    <w:name w:val="font71"/>
    <w:basedOn w:val="1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45">
    <w:name w:val="font81"/>
    <w:basedOn w:val="17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46">
    <w:name w:val="font91"/>
    <w:basedOn w:val="17"/>
    <w:qFormat/>
    <w:uiPriority w:val="0"/>
    <w:rPr>
      <w:rFonts w:hint="default" w:ascii="Arial" w:hAnsi="Arial" w:cs="Arial"/>
      <w:color w:val="000000"/>
      <w:sz w:val="13"/>
      <w:szCs w:val="13"/>
      <w:u w:val="none"/>
    </w:rPr>
  </w:style>
  <w:style w:type="character" w:customStyle="1" w:styleId="47">
    <w:name w:val="font101"/>
    <w:basedOn w:val="17"/>
    <w:qFormat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48">
    <w:name w:val="font11"/>
    <w:basedOn w:val="17"/>
    <w:qFormat/>
    <w:uiPriority w:val="0"/>
    <w:rPr>
      <w:rFonts w:ascii="宋体" w:hAnsi="宋体" w:eastAsia="宋体" w:cs="宋体"/>
      <w:b/>
      <w:bCs/>
      <w:color w:val="FFFF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2834</Characters>
  <Lines>14</Lines>
  <Paragraphs>3</Paragraphs>
  <TotalTime>0</TotalTime>
  <ScaleCrop>false</ScaleCrop>
  <LinksUpToDate>false</LinksUpToDate>
  <CharactersWithSpaces>3249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2025-04-30T01:23:00Z</dcterms:created>
  <dc:creator>admin</dc:creator>
  <cp:lastModifiedBy>957</cp:lastModifiedBy>
  <dcterms:modified xsi:type="dcterms:W3CDTF">2025-05-30T06:57:26Z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eyJoZGlkIjoiMTQzNTQ3MTNlZDY3MTg0MmIzNDE0OGFjMDk4YjFlMzUiLCJ1c2VySWQiOiI1MzIyNTU0NTEifQ==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334381E96DC74F79AAA4AE2A110FF108_13</vt:lpwstr>
  </property>
</Properties>
</file>